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Playfair Display" w:cs="Playfair Display" w:eastAsia="Playfair Display" w:hAnsi="Playfair Display"/>
        </w:rPr>
      </w:pPr>
      <w:r w:rsidDel="00000000" w:rsidR="00000000" w:rsidRPr="00000000">
        <w:rPr>
          <w:rFonts w:ascii="Playfair Display" w:cs="Playfair Display" w:eastAsia="Playfair Display" w:hAnsi="Playfair Display"/>
          <w:sz w:val="28"/>
          <w:szCs w:val="28"/>
          <w:rtl w:val="0"/>
        </w:rPr>
        <w:t xml:space="preserve">Minnesota Association of Women Police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295275</wp:posOffset>
            </wp:positionH>
            <wp:positionV relativeFrom="paragraph">
              <wp:posOffset>114300</wp:posOffset>
            </wp:positionV>
            <wp:extent cx="1677903" cy="20335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77903" cy="2033588"/>
                    </a:xfrm>
                    <a:prstGeom prst="rect"/>
                    <a:ln/>
                  </pic:spPr>
                </pic:pic>
              </a:graphicData>
            </a:graphic>
          </wp:anchor>
        </w:drawing>
      </w:r>
    </w:p>
    <w:p w:rsidR="00000000" w:rsidDel="00000000" w:rsidP="00000000" w:rsidRDefault="00000000" w:rsidRPr="00000000" w14:paraId="00000002">
      <w:pPr>
        <w:pageBreakBefore w:val="0"/>
        <w:spacing w:line="240" w:lineRule="auto"/>
        <w:jc w:val="cente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303 South State Street</w:t>
      </w:r>
    </w:p>
    <w:p w:rsidR="00000000" w:rsidDel="00000000" w:rsidP="00000000" w:rsidRDefault="00000000" w:rsidRPr="00000000" w14:paraId="00000004">
      <w:pPr>
        <w:pageBreakBefore w:val="0"/>
        <w:spacing w:line="240" w:lineRule="auto"/>
        <w:jc w:val="cente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Waseca, MN 56093</w:t>
      </w:r>
    </w:p>
    <w:p w:rsidR="00000000" w:rsidDel="00000000" w:rsidP="00000000" w:rsidRDefault="00000000" w:rsidRPr="00000000" w14:paraId="00000005">
      <w:pPr>
        <w:pageBreakBefore w:val="0"/>
        <w:spacing w:line="240" w:lineRule="auto"/>
        <w:ind w:left="270" w:firstLine="0"/>
        <w:jc w:val="cente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mawpcommunications@gmail.com</w:t>
      </w:r>
    </w:p>
    <w:p w:rsidR="00000000" w:rsidDel="00000000" w:rsidP="00000000" w:rsidRDefault="00000000" w:rsidRPr="00000000" w14:paraId="00000006">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spacing w:line="240" w:lineRule="auto"/>
        <w:jc w:val="center"/>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Sponsorship Form for </w:t>
      </w:r>
      <w:r w:rsidDel="00000000" w:rsidR="00000000" w:rsidRPr="00000000">
        <w:rPr>
          <w:rFonts w:ascii="Playfair Display" w:cs="Playfair Display" w:eastAsia="Playfair Display" w:hAnsi="Playfair Display"/>
          <w:i w:val="1"/>
          <w:sz w:val="20"/>
          <w:szCs w:val="20"/>
          <w:rtl w:val="0"/>
        </w:rPr>
        <w:t xml:space="preserve">Annual Conference</w:t>
      </w:r>
      <w:r w:rsidDel="00000000" w:rsidR="00000000" w:rsidRPr="00000000">
        <w:rPr>
          <w:rFonts w:ascii="Playfair Display" w:cs="Playfair Display" w:eastAsia="Playfair Display" w:hAnsi="Playfair Display"/>
          <w:sz w:val="20"/>
          <w:szCs w:val="20"/>
          <w:rtl w:val="0"/>
        </w:rPr>
        <w:t xml:space="preserve"> </w:t>
      </w:r>
    </w:p>
    <w:p w:rsidR="00000000" w:rsidDel="00000000" w:rsidP="00000000" w:rsidRDefault="00000000" w:rsidRPr="00000000" w14:paraId="00000008">
      <w:pPr>
        <w:pageBreakBefore w:val="0"/>
        <w:spacing w:line="240" w:lineRule="auto"/>
        <w:jc w:val="center"/>
        <w:rPr>
          <w:rFonts w:ascii="Cinzel" w:cs="Cinzel" w:eastAsia="Cinzel" w:hAnsi="Cinzel"/>
          <w:b w:val="1"/>
          <w:sz w:val="32"/>
          <w:szCs w:val="32"/>
        </w:rPr>
      </w:pPr>
      <w:bookmarkStart w:colFirst="0" w:colLast="0" w:name="_1fob9te" w:id="0"/>
      <w:bookmarkEnd w:id="0"/>
      <w:r w:rsidDel="00000000" w:rsidR="00000000" w:rsidRPr="00000000">
        <w:rPr>
          <w:rFonts w:ascii="Playfair Display" w:cs="Playfair Display" w:eastAsia="Playfair Display" w:hAnsi="Playfair Display"/>
          <w:sz w:val="20"/>
          <w:szCs w:val="20"/>
          <w:rtl w:val="0"/>
        </w:rPr>
        <w:t xml:space="preserve">Date of Event: ________________</w:t>
      </w:r>
      <w:r w:rsidDel="00000000" w:rsidR="00000000" w:rsidRPr="00000000">
        <w:rPr>
          <w:rtl w:val="0"/>
        </w:rPr>
      </w:r>
    </w:p>
    <w:p w:rsidR="00000000" w:rsidDel="00000000" w:rsidP="00000000" w:rsidRDefault="00000000" w:rsidRPr="00000000" w14:paraId="00000009">
      <w:pPr>
        <w:pageBreakBefore w:val="0"/>
        <w:spacing w:line="240" w:lineRule="auto"/>
        <w:jc w:val="center"/>
        <w:rPr>
          <w:rFonts w:ascii="Cinzel" w:cs="Cinzel" w:eastAsia="Cinzel" w:hAnsi="Cinzel"/>
          <w:b w:val="1"/>
          <w:sz w:val="32"/>
          <w:szCs w:val="32"/>
        </w:rPr>
      </w:pPr>
      <w:bookmarkStart w:colFirst="0" w:colLast="0" w:name="_tnuuaamm3pvn" w:id="1"/>
      <w:bookmarkEnd w:id="1"/>
      <w:r w:rsidDel="00000000" w:rsidR="00000000" w:rsidRPr="00000000">
        <w:rPr>
          <w:rtl w:val="0"/>
        </w:rPr>
      </w:r>
    </w:p>
    <w:p w:rsidR="00000000" w:rsidDel="00000000" w:rsidP="00000000" w:rsidRDefault="00000000" w:rsidRPr="00000000" w14:paraId="0000000A">
      <w:pPr>
        <w:pageBreakBefore w:val="0"/>
        <w:spacing w:before="0" w:line="240" w:lineRule="auto"/>
        <w:jc w:val="cente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B">
      <w:pPr>
        <w:pageBreakBefore w:val="0"/>
        <w:spacing w:before="240" w:line="24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The Minnesota Association of Women Police (MAWP) invites you to become a sponsor for our Annual Conference.  This is a great opportunity to network and share information about your product or service with law enforcement personnel, educators, administrative leaders, and the MAWP membership.  You or your organization may become involved by becoming a sponsor, and/or placing an advertisement in the conference program, or donating to our silent auction.</w:t>
      </w:r>
    </w:p>
    <w:tbl>
      <w:tblPr>
        <w:tblStyle w:val="Table1"/>
        <w:tblW w:w="5085.0" w:type="dxa"/>
        <w:jc w:val="left"/>
        <w:tblInd w:w="14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85"/>
        <w:tblGridChange w:id="0">
          <w:tblGrid>
            <w:gridCol w:w="5085"/>
          </w:tblGrid>
        </w:tblGridChange>
      </w:tblGrid>
      <w:tr>
        <w:trPr>
          <w:cantSplit w:val="0"/>
          <w:trHeight w:val="461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pageBreakBefore w:val="0"/>
              <w:spacing w:before="240" w:line="240" w:lineRule="auto"/>
              <w:rPr>
                <w:rFonts w:ascii="Playfair Display" w:cs="Playfair Display" w:eastAsia="Playfair Display" w:hAnsi="Playfair Display"/>
                <w:b w:val="1"/>
                <w:sz w:val="20"/>
                <w:szCs w:val="20"/>
                <w:u w:val="single"/>
              </w:rPr>
            </w:pPr>
            <w:r w:rsidDel="00000000" w:rsidR="00000000" w:rsidRPr="00000000">
              <w:rPr>
                <w:rtl w:val="0"/>
              </w:rPr>
            </w:r>
          </w:p>
          <w:p w:rsidR="00000000" w:rsidDel="00000000" w:rsidP="00000000" w:rsidRDefault="00000000" w:rsidRPr="00000000" w14:paraId="0000000D">
            <w:pPr>
              <w:pageBreakBefore w:val="0"/>
              <w:spacing w:before="240" w:line="240" w:lineRule="auto"/>
              <w:rPr>
                <w:rFonts w:ascii="Playfair Display" w:cs="Playfair Display" w:eastAsia="Playfair Display" w:hAnsi="Playfair Display"/>
                <w:b w:val="1"/>
                <w:sz w:val="20"/>
                <w:szCs w:val="20"/>
                <w:u w:val="single"/>
              </w:rPr>
            </w:pPr>
            <w:r w:rsidDel="00000000" w:rsidR="00000000" w:rsidRPr="00000000">
              <w:rPr>
                <w:rFonts w:ascii="Playfair Display" w:cs="Playfair Display" w:eastAsia="Playfair Display" w:hAnsi="Playfair Display"/>
                <w:b w:val="1"/>
                <w:sz w:val="20"/>
                <w:szCs w:val="20"/>
                <w:u w:val="single"/>
                <w:rtl w:val="0"/>
              </w:rPr>
              <w:t xml:space="preserve">Sponsorship Packages Include:</w:t>
            </w:r>
          </w:p>
          <w:p w:rsidR="00000000" w:rsidDel="00000000" w:rsidP="00000000" w:rsidRDefault="00000000" w:rsidRPr="00000000" w14:paraId="0000000E">
            <w:pPr>
              <w:pageBreakBefore w:val="0"/>
              <w:spacing w:line="240" w:lineRule="auto"/>
              <w:ind w:left="358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 </w:t>
            </w:r>
          </w:p>
          <w:p w:rsidR="00000000" w:rsidDel="00000000" w:rsidP="00000000" w:rsidRDefault="00000000" w:rsidRPr="00000000" w14:paraId="0000000F">
            <w:pPr>
              <w:pageBreakBefore w:val="0"/>
              <w:spacing w:line="240" w:lineRule="auto"/>
              <w:ind w:right="-21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b w:val="1"/>
                <w:sz w:val="20"/>
                <w:szCs w:val="20"/>
                <w:rtl w:val="0"/>
              </w:rPr>
              <w:t xml:space="preserve">GOLD ($500): </w:t>
            </w:r>
            <w:r w:rsidDel="00000000" w:rsidR="00000000" w:rsidRPr="00000000">
              <w:rPr>
                <w:rFonts w:ascii="Playfair Display" w:cs="Playfair Display" w:eastAsia="Playfair Display" w:hAnsi="Playfair Display"/>
                <w:sz w:val="20"/>
                <w:szCs w:val="20"/>
                <w:rtl w:val="0"/>
              </w:rPr>
              <w:t xml:space="preserve"> Benefits include special recognition, large logo advertisement in the conference program, logo displayed during the conference. Link to sponsors website on the MAWP website with logo.</w:t>
            </w:r>
          </w:p>
          <w:p w:rsidR="00000000" w:rsidDel="00000000" w:rsidP="00000000" w:rsidRDefault="00000000" w:rsidRPr="00000000" w14:paraId="00000010">
            <w:pPr>
              <w:pageBreakBefore w:val="0"/>
              <w:spacing w:line="240" w:lineRule="auto"/>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11">
            <w:pPr>
              <w:pageBreakBefore w:val="0"/>
              <w:spacing w:line="24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b w:val="1"/>
                <w:sz w:val="20"/>
                <w:szCs w:val="20"/>
                <w:rtl w:val="0"/>
              </w:rPr>
              <w:t xml:space="preserve">SILVER ($300):</w:t>
            </w:r>
            <w:r w:rsidDel="00000000" w:rsidR="00000000" w:rsidRPr="00000000">
              <w:rPr>
                <w:rFonts w:ascii="Playfair Display" w:cs="Playfair Display" w:eastAsia="Playfair Display" w:hAnsi="Playfair Display"/>
                <w:sz w:val="20"/>
                <w:szCs w:val="20"/>
                <w:rtl w:val="0"/>
              </w:rPr>
              <w:t xml:space="preserve">  Benefits include a small logo advertisement in the conference program and link to sponsors website</w:t>
            </w:r>
          </w:p>
          <w:p w:rsidR="00000000" w:rsidDel="00000000" w:rsidP="00000000" w:rsidRDefault="00000000" w:rsidRPr="00000000" w14:paraId="00000012">
            <w:pPr>
              <w:pageBreakBefore w:val="0"/>
              <w:spacing w:line="240" w:lineRule="auto"/>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13">
            <w:pPr>
              <w:pageBreakBefore w:val="0"/>
              <w:spacing w:line="24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b w:val="1"/>
                <w:sz w:val="20"/>
                <w:szCs w:val="20"/>
                <w:rtl w:val="0"/>
              </w:rPr>
              <w:t xml:space="preserve">BRONZE ($100):</w:t>
            </w:r>
            <w:r w:rsidDel="00000000" w:rsidR="00000000" w:rsidRPr="00000000">
              <w:rPr>
                <w:rFonts w:ascii="Playfair Display" w:cs="Playfair Display" w:eastAsia="Playfair Display" w:hAnsi="Playfair Display"/>
                <w:sz w:val="20"/>
                <w:szCs w:val="20"/>
                <w:rtl w:val="0"/>
              </w:rPr>
              <w:t xml:space="preserve">  Benefits include recognition in conference program.</w:t>
            </w:r>
          </w:p>
          <w:p w:rsidR="00000000" w:rsidDel="00000000" w:rsidP="00000000" w:rsidRDefault="00000000" w:rsidRPr="00000000" w14:paraId="00000014">
            <w:pPr>
              <w:pageBreakBefore w:val="0"/>
              <w:spacing w:line="240" w:lineRule="auto"/>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15">
            <w:pPr>
              <w:pageBreakBefore w:val="0"/>
              <w:spacing w:line="240" w:lineRule="auto"/>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16">
            <w:pPr>
              <w:pageBreakBefore w:val="0"/>
              <w:spacing w:line="240" w:lineRule="auto"/>
              <w:rPr>
                <w:rFonts w:ascii="Playfair Display" w:cs="Playfair Display" w:eastAsia="Playfair Display" w:hAnsi="Playfair Display"/>
                <w:sz w:val="20"/>
                <w:szCs w:val="20"/>
              </w:rPr>
            </w:pPr>
            <w:r w:rsidDel="00000000" w:rsidR="00000000" w:rsidRPr="00000000">
              <w:rPr>
                <w:rtl w:val="0"/>
              </w:rPr>
            </w:r>
          </w:p>
        </w:tc>
      </w:tr>
    </w:tbl>
    <w:p w:rsidR="00000000" w:rsidDel="00000000" w:rsidP="00000000" w:rsidRDefault="00000000" w:rsidRPr="00000000" w14:paraId="00000017">
      <w:pPr>
        <w:pageBreakBefore w:val="0"/>
        <w:spacing w:after="240" w:before="240" w:line="24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b w:val="1"/>
          <w:sz w:val="20"/>
          <w:szCs w:val="20"/>
          <w:rtl w:val="0"/>
        </w:rPr>
        <w:t xml:space="preserve">TO REGISTER</w:t>
      </w:r>
      <w:r w:rsidDel="00000000" w:rsidR="00000000" w:rsidRPr="00000000">
        <w:rPr>
          <w:rFonts w:ascii="Playfair Display" w:cs="Playfair Display" w:eastAsia="Playfair Display" w:hAnsi="Playfair Display"/>
          <w:sz w:val="20"/>
          <w:szCs w:val="20"/>
          <w:rtl w:val="0"/>
        </w:rPr>
        <w:t xml:space="preserve"> your organization as a sponsor for the annual Conference:</w:t>
      </w:r>
    </w:p>
    <w:p w:rsidR="00000000" w:rsidDel="00000000" w:rsidP="00000000" w:rsidRDefault="00000000" w:rsidRPr="00000000" w14:paraId="00000018">
      <w:pPr>
        <w:pageBreakBefore w:val="0"/>
        <w:spacing w:line="24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b w:val="1"/>
          <w:sz w:val="20"/>
          <w:szCs w:val="20"/>
          <w:rtl w:val="0"/>
        </w:rPr>
        <w:t xml:space="preserve">Mail</w:t>
      </w:r>
      <w:r w:rsidDel="00000000" w:rsidR="00000000" w:rsidRPr="00000000">
        <w:rPr>
          <w:rFonts w:ascii="Playfair Display" w:cs="Playfair Display" w:eastAsia="Playfair Display" w:hAnsi="Playfair Display"/>
          <w:sz w:val="20"/>
          <w:szCs w:val="20"/>
          <w:rtl w:val="0"/>
        </w:rPr>
        <w:t xml:space="preserve"> appropriate payment to:</w:t>
      </w:r>
    </w:p>
    <w:p w:rsidR="00000000" w:rsidDel="00000000" w:rsidP="00000000" w:rsidRDefault="00000000" w:rsidRPr="00000000" w14:paraId="00000019">
      <w:pPr>
        <w:pageBreakBefore w:val="0"/>
        <w:spacing w:line="24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    </w:t>
        <w:tab/>
        <w:t xml:space="preserve">MAWP Conference Sponsorship</w:t>
      </w:r>
    </w:p>
    <w:p w:rsidR="00000000" w:rsidDel="00000000" w:rsidP="00000000" w:rsidRDefault="00000000" w:rsidRPr="00000000" w14:paraId="0000001A">
      <w:pPr>
        <w:pageBreakBefore w:val="0"/>
        <w:spacing w:line="24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    </w:t>
        <w:tab/>
        <w:t xml:space="preserve">303 South State Street</w:t>
      </w:r>
    </w:p>
    <w:p w:rsidR="00000000" w:rsidDel="00000000" w:rsidP="00000000" w:rsidRDefault="00000000" w:rsidRPr="00000000" w14:paraId="0000001B">
      <w:pPr>
        <w:pageBreakBefore w:val="0"/>
        <w:spacing w:line="24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    </w:t>
        <w:tab/>
        <w:t xml:space="preserve">Waseca, MN 56093</w:t>
      </w:r>
    </w:p>
    <w:p w:rsidR="00000000" w:rsidDel="00000000" w:rsidP="00000000" w:rsidRDefault="00000000" w:rsidRPr="00000000" w14:paraId="0000001C">
      <w:pPr>
        <w:pageBreakBefore w:val="0"/>
        <w:spacing w:line="240" w:lineRule="auto"/>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1D">
      <w:pPr>
        <w:pageBreakBefore w:val="0"/>
        <w:spacing w:line="240" w:lineRule="auto"/>
        <w:ind w:left="360" w:firstLine="0"/>
        <w:rPr>
          <w:sz w:val="20"/>
          <w:szCs w:val="20"/>
        </w:rPr>
      </w:pPr>
      <w:r w:rsidDel="00000000" w:rsidR="00000000" w:rsidRPr="00000000">
        <w:rPr>
          <w:rFonts w:ascii="Playfair Display" w:cs="Playfair Display" w:eastAsia="Playfair Display" w:hAnsi="Playfair Display"/>
          <w:sz w:val="20"/>
          <w:szCs w:val="20"/>
          <w:rtl w:val="0"/>
        </w:rPr>
        <w:t xml:space="preserve"> </w:t>
      </w:r>
      <w:r w:rsidDel="00000000" w:rsidR="00000000" w:rsidRPr="00000000">
        <w:rPr>
          <w:rFonts w:ascii="Playfair Display" w:cs="Playfair Display" w:eastAsia="Playfair Display" w:hAnsi="Playfair Display"/>
          <w:b w:val="1"/>
          <w:sz w:val="20"/>
          <w:szCs w:val="20"/>
          <w:rtl w:val="0"/>
        </w:rPr>
        <w:t xml:space="preserve">Or contact</w:t>
      </w:r>
      <w:r w:rsidDel="00000000" w:rsidR="00000000" w:rsidRPr="00000000">
        <w:rPr>
          <w:rFonts w:ascii="Playfair Display" w:cs="Playfair Display" w:eastAsia="Playfair Display" w:hAnsi="Playfair Display"/>
          <w:sz w:val="20"/>
          <w:szCs w:val="20"/>
          <w:rtl w:val="0"/>
        </w:rPr>
        <w:t xml:space="preserve"> </w:t>
      </w:r>
      <w:r w:rsidDel="00000000" w:rsidR="00000000" w:rsidRPr="00000000">
        <w:rPr>
          <w:rFonts w:ascii="Playfair Display" w:cs="Playfair Display" w:eastAsia="Playfair Display" w:hAnsi="Playfair Display"/>
          <w:sz w:val="20"/>
          <w:szCs w:val="20"/>
          <w:rtl w:val="0"/>
        </w:rPr>
        <w:t xml:space="preserve">mawpcommunications@gmail.com</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inzel">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jc w:val="right"/>
      <w:rPr>
        <w:sz w:val="16"/>
        <w:szCs w:val="16"/>
      </w:rPr>
    </w:pPr>
    <w:r w:rsidDel="00000000" w:rsidR="00000000" w:rsidRPr="00000000">
      <w:rPr>
        <w:sz w:val="16"/>
        <w:szCs w:val="16"/>
        <w:rtl w:val="0"/>
      </w:rPr>
      <w:t xml:space="preserve">Googledoc:mawpcommunications : sponsorship form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Cinzel-regular.ttf"/><Relationship Id="rId6" Type="http://schemas.openxmlformats.org/officeDocument/2006/relationships/font" Target="fonts/Cinzel-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